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8D4E" w14:textId="77777777" w:rsidR="00321332" w:rsidRPr="001A6F45" w:rsidRDefault="00321332" w:rsidP="00321332">
      <w:pPr>
        <w:spacing w:before="101"/>
        <w:jc w:val="center"/>
        <w:rPr>
          <w:b/>
        </w:rPr>
      </w:pPr>
      <w:r w:rsidRPr="001A6F45">
        <w:rPr>
          <w:b/>
        </w:rPr>
        <w:t>Service Level Agreement</w:t>
      </w:r>
    </w:p>
    <w:p w14:paraId="207DB684" w14:textId="77777777" w:rsidR="00321332" w:rsidRPr="001A6F45" w:rsidRDefault="00321332" w:rsidP="00321332">
      <w:pPr>
        <w:pStyle w:val="BodyText"/>
        <w:spacing w:before="7"/>
        <w:ind w:left="0"/>
        <w:jc w:val="left"/>
        <w:rPr>
          <w:b/>
          <w:sz w:val="22"/>
          <w:szCs w:val="22"/>
        </w:rPr>
      </w:pPr>
    </w:p>
    <w:p w14:paraId="11CF9CE1" w14:textId="77777777" w:rsidR="00321332" w:rsidRPr="001A6F45" w:rsidRDefault="00321332" w:rsidP="00321332">
      <w:pPr>
        <w:pStyle w:val="BodyText"/>
        <w:spacing w:before="7"/>
        <w:ind w:left="0"/>
        <w:jc w:val="left"/>
        <w:rPr>
          <w:sz w:val="22"/>
          <w:szCs w:val="22"/>
        </w:rPr>
      </w:pPr>
      <w:r w:rsidRPr="001A6F45">
        <w:rPr>
          <w:b/>
          <w:sz w:val="22"/>
          <w:szCs w:val="22"/>
        </w:rPr>
        <w:t xml:space="preserve">Introduction: </w:t>
      </w:r>
      <w:r w:rsidRPr="001A6F45">
        <w:rPr>
          <w:sz w:val="22"/>
          <w:szCs w:val="22"/>
        </w:rPr>
        <w:t xml:space="preserve">Crossword aims to make the Services available on a 24 hour per day, 7 day per week basis. This Service Level Agreement sets out Crossword’s commitment towards achieving this aim: its Service Commitment, the support and monitoring it provides, the credits Customer will receive if Crossword fails to meet the Service Commitment, and the exclusions.  </w:t>
      </w:r>
    </w:p>
    <w:p w14:paraId="64C21CAF" w14:textId="77777777" w:rsidR="00321332" w:rsidRPr="001A6F45" w:rsidRDefault="00321332" w:rsidP="00321332">
      <w:pPr>
        <w:pStyle w:val="BodyText"/>
        <w:spacing w:before="7"/>
        <w:ind w:left="0"/>
        <w:jc w:val="left"/>
        <w:rPr>
          <w:sz w:val="22"/>
          <w:szCs w:val="22"/>
        </w:rPr>
      </w:pPr>
      <w:r w:rsidRPr="001A6F45">
        <w:rPr>
          <w:sz w:val="22"/>
          <w:szCs w:val="22"/>
        </w:rPr>
        <w:t xml:space="preserve"> </w:t>
      </w:r>
    </w:p>
    <w:p w14:paraId="05D34137" w14:textId="77777777" w:rsidR="00321332" w:rsidRPr="001A6F45" w:rsidRDefault="00321332" w:rsidP="00321332">
      <w:pPr>
        <w:pStyle w:val="BodyText"/>
        <w:spacing w:before="7"/>
        <w:ind w:left="0"/>
        <w:jc w:val="left"/>
        <w:rPr>
          <w:b/>
          <w:sz w:val="22"/>
          <w:szCs w:val="22"/>
        </w:rPr>
      </w:pPr>
      <w:r w:rsidRPr="001A6F45">
        <w:rPr>
          <w:sz w:val="22"/>
          <w:szCs w:val="22"/>
        </w:rPr>
        <w:t>IT IS AGREED AS FOLLOWS:</w:t>
      </w:r>
    </w:p>
    <w:p w14:paraId="14799414" w14:textId="77777777" w:rsidR="00321332" w:rsidRPr="001A6F45" w:rsidRDefault="00321332" w:rsidP="00321332">
      <w:pPr>
        <w:pStyle w:val="BodyText"/>
        <w:spacing w:before="9"/>
        <w:ind w:left="0"/>
        <w:jc w:val="left"/>
        <w:rPr>
          <w:sz w:val="22"/>
          <w:szCs w:val="22"/>
        </w:rPr>
      </w:pPr>
    </w:p>
    <w:p w14:paraId="1732867B" w14:textId="77777777" w:rsidR="00321332" w:rsidRPr="001A6F45" w:rsidRDefault="00321332" w:rsidP="00321332">
      <w:pPr>
        <w:pStyle w:val="Heading2"/>
        <w:numPr>
          <w:ilvl w:val="0"/>
          <w:numId w:val="1"/>
        </w:numPr>
        <w:tabs>
          <w:tab w:val="left" w:pos="567"/>
        </w:tabs>
        <w:spacing w:before="0"/>
        <w:ind w:left="567" w:hanging="567"/>
        <w:jc w:val="left"/>
        <w:rPr>
          <w:sz w:val="22"/>
          <w:szCs w:val="22"/>
        </w:rPr>
      </w:pPr>
      <w:r w:rsidRPr="001A6F45">
        <w:rPr>
          <w:sz w:val="22"/>
          <w:szCs w:val="22"/>
        </w:rPr>
        <w:t>Service</w:t>
      </w:r>
      <w:r w:rsidRPr="001A6F45">
        <w:rPr>
          <w:spacing w:val="-2"/>
          <w:sz w:val="22"/>
          <w:szCs w:val="22"/>
        </w:rPr>
        <w:t xml:space="preserve"> </w:t>
      </w:r>
      <w:r w:rsidRPr="001A6F45">
        <w:rPr>
          <w:sz w:val="22"/>
          <w:szCs w:val="22"/>
        </w:rPr>
        <w:t>Commitment</w:t>
      </w:r>
    </w:p>
    <w:p w14:paraId="085DCD8A" w14:textId="77777777" w:rsidR="00321332" w:rsidRPr="001A6F45" w:rsidRDefault="00321332" w:rsidP="00321332">
      <w:pPr>
        <w:pStyle w:val="BodyText"/>
        <w:tabs>
          <w:tab w:val="left" w:pos="0"/>
        </w:tabs>
        <w:spacing w:before="195"/>
        <w:ind w:left="0" w:right="914"/>
        <w:rPr>
          <w:sz w:val="22"/>
          <w:szCs w:val="22"/>
        </w:rPr>
      </w:pPr>
      <w:r w:rsidRPr="001A6F45">
        <w:rPr>
          <w:sz w:val="22"/>
          <w:szCs w:val="22"/>
        </w:rPr>
        <w:t>1.1</w:t>
      </w:r>
      <w:r w:rsidRPr="001A6F45">
        <w:rPr>
          <w:sz w:val="22"/>
          <w:szCs w:val="22"/>
        </w:rPr>
        <w:tab/>
        <w:t>During the Term</w:t>
      </w:r>
      <w:r w:rsidRPr="001A6F45">
        <w:rPr>
          <w:spacing w:val="-3"/>
          <w:sz w:val="22"/>
          <w:szCs w:val="22"/>
        </w:rPr>
        <w:t xml:space="preserve">, </w:t>
      </w:r>
      <w:r w:rsidRPr="001A6F45">
        <w:rPr>
          <w:sz w:val="22"/>
          <w:szCs w:val="22"/>
        </w:rPr>
        <w:t>Crossword commits to achieving an Uptime Percentage (as defined below) in each Quarter of at least 95% (the “</w:t>
      </w:r>
      <w:r w:rsidRPr="001A6F45">
        <w:rPr>
          <w:b/>
          <w:sz w:val="22"/>
          <w:szCs w:val="22"/>
        </w:rPr>
        <w:t>Service Commitment</w:t>
      </w:r>
      <w:r w:rsidRPr="001A6F45">
        <w:rPr>
          <w:sz w:val="22"/>
          <w:szCs w:val="22"/>
        </w:rPr>
        <w:t xml:space="preserve">”).  </w:t>
      </w:r>
    </w:p>
    <w:p w14:paraId="11A2EB19" w14:textId="77777777" w:rsidR="00321332" w:rsidRPr="001A6F45" w:rsidRDefault="00321332" w:rsidP="00321332">
      <w:pPr>
        <w:pStyle w:val="BodyText"/>
        <w:tabs>
          <w:tab w:val="left" w:pos="0"/>
        </w:tabs>
        <w:spacing w:before="195"/>
        <w:ind w:left="0" w:right="914"/>
        <w:rPr>
          <w:sz w:val="22"/>
          <w:szCs w:val="22"/>
        </w:rPr>
      </w:pPr>
      <w:r w:rsidRPr="001A6F45">
        <w:rPr>
          <w:sz w:val="22"/>
          <w:szCs w:val="22"/>
        </w:rPr>
        <w:t>1.2</w:t>
      </w:r>
      <w:r w:rsidRPr="001A6F45">
        <w:rPr>
          <w:sz w:val="22"/>
          <w:szCs w:val="22"/>
        </w:rPr>
        <w:tab/>
        <w:t>In the event Crossword fails to meet the Service Commitment, the Customer will be eligible to receive a Service Credit as described in clause 4 below.</w:t>
      </w:r>
    </w:p>
    <w:p w14:paraId="3221C7E5" w14:textId="77777777" w:rsidR="00321332" w:rsidRPr="001A6F45" w:rsidRDefault="00321332" w:rsidP="00321332">
      <w:pPr>
        <w:pStyle w:val="BodyText"/>
        <w:tabs>
          <w:tab w:val="left" w:pos="567"/>
        </w:tabs>
        <w:spacing w:before="0"/>
        <w:ind w:left="567" w:right="734" w:hanging="567"/>
        <w:jc w:val="left"/>
        <w:rPr>
          <w:b/>
          <w:sz w:val="22"/>
          <w:szCs w:val="22"/>
        </w:rPr>
      </w:pPr>
    </w:p>
    <w:p w14:paraId="54FE5D4E" w14:textId="77777777" w:rsidR="00321332" w:rsidRPr="001A6F45" w:rsidRDefault="00321332" w:rsidP="00321332">
      <w:pPr>
        <w:pStyle w:val="BodyText"/>
        <w:tabs>
          <w:tab w:val="left" w:pos="567"/>
        </w:tabs>
        <w:spacing w:before="0"/>
        <w:ind w:left="567" w:right="734" w:hanging="567"/>
        <w:jc w:val="left"/>
        <w:rPr>
          <w:sz w:val="22"/>
          <w:szCs w:val="22"/>
        </w:rPr>
      </w:pPr>
      <w:r w:rsidRPr="001A6F45">
        <w:rPr>
          <w:sz w:val="22"/>
          <w:szCs w:val="22"/>
        </w:rPr>
        <w:t>1.3</w:t>
      </w:r>
      <w:r w:rsidRPr="001A6F45">
        <w:rPr>
          <w:sz w:val="22"/>
          <w:szCs w:val="22"/>
        </w:rPr>
        <w:tab/>
        <w:t xml:space="preserve">In this clause: </w:t>
      </w:r>
    </w:p>
    <w:p w14:paraId="3D4E4D42" w14:textId="77777777" w:rsidR="00321332" w:rsidRPr="001A6F45" w:rsidRDefault="00321332" w:rsidP="00321332">
      <w:pPr>
        <w:pStyle w:val="BodyText"/>
        <w:tabs>
          <w:tab w:val="left" w:pos="0"/>
        </w:tabs>
        <w:spacing w:before="0"/>
        <w:ind w:left="0" w:right="734"/>
        <w:jc w:val="left"/>
        <w:rPr>
          <w:sz w:val="22"/>
          <w:szCs w:val="22"/>
        </w:rPr>
      </w:pPr>
    </w:p>
    <w:p w14:paraId="7FF6A13C" w14:textId="77777777" w:rsidR="00321332" w:rsidRPr="001A6F45" w:rsidRDefault="00321332" w:rsidP="00321332">
      <w:pPr>
        <w:pStyle w:val="BodyText"/>
        <w:tabs>
          <w:tab w:val="left" w:pos="0"/>
        </w:tabs>
        <w:spacing w:before="0"/>
        <w:ind w:left="0" w:right="734"/>
        <w:jc w:val="left"/>
        <w:rPr>
          <w:sz w:val="22"/>
          <w:szCs w:val="22"/>
        </w:rPr>
      </w:pPr>
      <w:r w:rsidRPr="001A6F45">
        <w:rPr>
          <w:sz w:val="22"/>
          <w:szCs w:val="22"/>
        </w:rPr>
        <w:t>“</w:t>
      </w:r>
      <w:r w:rsidRPr="001A6F45">
        <w:rPr>
          <w:b/>
          <w:sz w:val="22"/>
          <w:szCs w:val="22"/>
        </w:rPr>
        <w:t>Uptime Percentage</w:t>
      </w:r>
      <w:r w:rsidRPr="001A6F45">
        <w:rPr>
          <w:sz w:val="22"/>
          <w:szCs w:val="22"/>
        </w:rPr>
        <w:t xml:space="preserve">” means the total amount of time in a Quarter, less the total amount of all Downtime in that Quarter, expressed as a percentage of the total time in a Quarter.  </w:t>
      </w:r>
    </w:p>
    <w:p w14:paraId="339466D8" w14:textId="77777777" w:rsidR="00321332" w:rsidRPr="001A6F45" w:rsidRDefault="00321332" w:rsidP="00321332">
      <w:pPr>
        <w:pStyle w:val="BodyText"/>
        <w:tabs>
          <w:tab w:val="left" w:pos="0"/>
        </w:tabs>
        <w:spacing w:before="0"/>
        <w:ind w:left="0" w:right="734"/>
        <w:jc w:val="left"/>
        <w:rPr>
          <w:sz w:val="22"/>
          <w:szCs w:val="22"/>
        </w:rPr>
      </w:pPr>
    </w:p>
    <w:p w14:paraId="5F3A439C" w14:textId="77777777" w:rsidR="00321332" w:rsidRPr="001A6F45" w:rsidRDefault="00321332" w:rsidP="00321332">
      <w:pPr>
        <w:pStyle w:val="BodyText"/>
        <w:tabs>
          <w:tab w:val="left" w:pos="0"/>
        </w:tabs>
        <w:spacing w:before="0"/>
        <w:ind w:left="0" w:right="734"/>
        <w:jc w:val="left"/>
        <w:rPr>
          <w:sz w:val="22"/>
          <w:szCs w:val="22"/>
        </w:rPr>
      </w:pPr>
      <w:r w:rsidRPr="001A6F45">
        <w:rPr>
          <w:sz w:val="22"/>
          <w:szCs w:val="22"/>
        </w:rPr>
        <w:t>“</w:t>
      </w:r>
      <w:r w:rsidRPr="001A6F45">
        <w:rPr>
          <w:b/>
          <w:sz w:val="22"/>
          <w:szCs w:val="22"/>
        </w:rPr>
        <w:t>Downtime</w:t>
      </w:r>
      <w:r w:rsidRPr="001A6F45">
        <w:rPr>
          <w:sz w:val="22"/>
          <w:szCs w:val="22"/>
        </w:rPr>
        <w:t>”</w:t>
      </w:r>
      <w:r w:rsidRPr="001A6F45">
        <w:rPr>
          <w:b/>
          <w:sz w:val="22"/>
          <w:szCs w:val="22"/>
        </w:rPr>
        <w:t xml:space="preserve"> </w:t>
      </w:r>
      <w:r w:rsidRPr="001A6F45">
        <w:rPr>
          <w:sz w:val="22"/>
          <w:szCs w:val="22"/>
        </w:rPr>
        <w:t>means a continuous period during which the majority of the Authorised Users cannot complete all of the Key Operations, expressed as a duration e.g. in minutes or hours, but excludes any such period that results from one of the causes described in clause 6 of this SLA.</w:t>
      </w:r>
    </w:p>
    <w:p w14:paraId="59409B07" w14:textId="77777777" w:rsidR="00321332" w:rsidRPr="001A6F45" w:rsidRDefault="00321332" w:rsidP="00321332">
      <w:pPr>
        <w:pStyle w:val="BodyText"/>
        <w:tabs>
          <w:tab w:val="left" w:pos="0"/>
        </w:tabs>
        <w:spacing w:before="0"/>
        <w:ind w:left="0" w:right="1073"/>
        <w:jc w:val="left"/>
        <w:rPr>
          <w:b/>
          <w:sz w:val="22"/>
          <w:szCs w:val="22"/>
        </w:rPr>
      </w:pPr>
    </w:p>
    <w:p w14:paraId="1E882FD7" w14:textId="77777777" w:rsidR="00321332" w:rsidRPr="001A6F45" w:rsidRDefault="00321332" w:rsidP="00321332">
      <w:pPr>
        <w:pStyle w:val="BodyText"/>
        <w:tabs>
          <w:tab w:val="left" w:pos="0"/>
        </w:tabs>
        <w:spacing w:before="0"/>
        <w:ind w:left="0" w:right="1073"/>
        <w:jc w:val="left"/>
        <w:rPr>
          <w:sz w:val="22"/>
          <w:szCs w:val="22"/>
        </w:rPr>
      </w:pPr>
      <w:r w:rsidRPr="001A6F45">
        <w:rPr>
          <w:b/>
          <w:sz w:val="22"/>
          <w:szCs w:val="22"/>
        </w:rPr>
        <w:t>“Key Operations”</w:t>
      </w:r>
      <w:r w:rsidRPr="001A6F45">
        <w:rPr>
          <w:sz w:val="22"/>
          <w:szCs w:val="22"/>
        </w:rPr>
        <w:t xml:space="preserve"> means the following functions of the Platform: login, the creation of Authorised User accounts, the creation and sending of assessments, the completing</w:t>
      </w:r>
      <w:r w:rsidRPr="001A6F45">
        <w:rPr>
          <w:spacing w:val="-23"/>
          <w:sz w:val="22"/>
          <w:szCs w:val="22"/>
        </w:rPr>
        <w:t xml:space="preserve"> </w:t>
      </w:r>
      <w:r w:rsidRPr="001A6F45">
        <w:rPr>
          <w:sz w:val="22"/>
          <w:szCs w:val="22"/>
        </w:rPr>
        <w:t>and submission of assessments, and access to Customer Content derived from assessments that is stored within the Platform.</w:t>
      </w:r>
    </w:p>
    <w:p w14:paraId="69A00BD7" w14:textId="77777777" w:rsidR="00321332" w:rsidRPr="001A6F45" w:rsidRDefault="00321332" w:rsidP="00321332">
      <w:pPr>
        <w:pStyle w:val="BodyText"/>
        <w:tabs>
          <w:tab w:val="left" w:pos="0"/>
        </w:tabs>
        <w:spacing w:before="0"/>
        <w:ind w:left="0" w:right="1073"/>
        <w:jc w:val="left"/>
        <w:rPr>
          <w:sz w:val="22"/>
          <w:szCs w:val="22"/>
        </w:rPr>
      </w:pPr>
    </w:p>
    <w:p w14:paraId="3BF334E9" w14:textId="77777777" w:rsidR="00321332" w:rsidRPr="001A6F45" w:rsidRDefault="00321332" w:rsidP="00321332">
      <w:pPr>
        <w:pStyle w:val="Heading2"/>
        <w:numPr>
          <w:ilvl w:val="0"/>
          <w:numId w:val="1"/>
        </w:numPr>
        <w:tabs>
          <w:tab w:val="left" w:pos="567"/>
        </w:tabs>
        <w:spacing w:before="0"/>
        <w:ind w:left="567" w:hanging="567"/>
        <w:jc w:val="left"/>
        <w:rPr>
          <w:sz w:val="22"/>
          <w:szCs w:val="22"/>
        </w:rPr>
      </w:pPr>
      <w:r w:rsidRPr="001A6F45">
        <w:rPr>
          <w:sz w:val="22"/>
          <w:szCs w:val="22"/>
        </w:rPr>
        <w:t>Response and Support</w:t>
      </w:r>
      <w:r w:rsidRPr="001A6F45">
        <w:rPr>
          <w:spacing w:val="-1"/>
          <w:sz w:val="22"/>
          <w:szCs w:val="22"/>
        </w:rPr>
        <w:t xml:space="preserve"> </w:t>
      </w:r>
      <w:r w:rsidRPr="001A6F45">
        <w:rPr>
          <w:sz w:val="22"/>
          <w:szCs w:val="22"/>
        </w:rPr>
        <w:t>Services</w:t>
      </w:r>
    </w:p>
    <w:p w14:paraId="7C41A782" w14:textId="77777777" w:rsidR="00321332" w:rsidRPr="001A6F45" w:rsidRDefault="00321332" w:rsidP="00321332">
      <w:pPr>
        <w:pStyle w:val="Heading2"/>
        <w:tabs>
          <w:tab w:val="left" w:pos="567"/>
        </w:tabs>
        <w:spacing w:before="0"/>
        <w:ind w:left="567" w:hanging="567"/>
        <w:jc w:val="right"/>
        <w:rPr>
          <w:sz w:val="22"/>
          <w:szCs w:val="22"/>
        </w:rPr>
      </w:pPr>
    </w:p>
    <w:p w14:paraId="7DC41066" w14:textId="77777777" w:rsidR="00321332" w:rsidRPr="001A6F45" w:rsidRDefault="00321332" w:rsidP="00321332">
      <w:pPr>
        <w:tabs>
          <w:tab w:val="left" w:pos="567"/>
          <w:tab w:val="left" w:pos="1241"/>
          <w:tab w:val="left" w:pos="1242"/>
        </w:tabs>
        <w:spacing w:before="118"/>
        <w:ind w:left="567" w:hanging="567"/>
      </w:pPr>
      <w:r w:rsidRPr="001A6F45">
        <w:t>2.1</w:t>
      </w:r>
      <w:r w:rsidRPr="001A6F45">
        <w:tab/>
        <w:t xml:space="preserve">  If there is a Service Failure, Crossword</w:t>
      </w:r>
      <w:r w:rsidRPr="001A6F45">
        <w:rPr>
          <w:spacing w:val="2"/>
        </w:rPr>
        <w:t xml:space="preserve"> </w:t>
      </w:r>
      <w:r w:rsidRPr="001A6F45">
        <w:t>shall at its own cost:</w:t>
      </w:r>
    </w:p>
    <w:p w14:paraId="65B601BA" w14:textId="77777777" w:rsidR="00321332" w:rsidRPr="001A6F45" w:rsidRDefault="00321332" w:rsidP="00321332">
      <w:pPr>
        <w:tabs>
          <w:tab w:val="left" w:pos="567"/>
          <w:tab w:val="left" w:pos="1950"/>
        </w:tabs>
        <w:spacing w:before="120"/>
      </w:pPr>
      <w:r w:rsidRPr="001A6F45">
        <w:tab/>
        <w:t>a) investigate and promptly notify the Customer of the Service</w:t>
      </w:r>
      <w:r w:rsidRPr="001A6F45">
        <w:rPr>
          <w:spacing w:val="-10"/>
        </w:rPr>
        <w:t xml:space="preserve"> </w:t>
      </w:r>
      <w:r w:rsidRPr="001A6F45">
        <w:t>Failure; and</w:t>
      </w:r>
    </w:p>
    <w:p w14:paraId="126D3356" w14:textId="77777777" w:rsidR="00321332" w:rsidRPr="001A6F45" w:rsidRDefault="00321332" w:rsidP="00321332">
      <w:pPr>
        <w:tabs>
          <w:tab w:val="left" w:pos="567"/>
          <w:tab w:val="left" w:pos="1950"/>
        </w:tabs>
        <w:spacing w:before="120"/>
      </w:pPr>
      <w:r w:rsidRPr="001A6F45">
        <w:tab/>
        <w:t>b) use reasonable endeavours promptly to rectify the Service Failure.</w:t>
      </w:r>
    </w:p>
    <w:p w14:paraId="025719E7" w14:textId="77777777" w:rsidR="00321332" w:rsidRPr="001A6F45" w:rsidRDefault="00321332" w:rsidP="00321332">
      <w:pPr>
        <w:pStyle w:val="BodyText"/>
        <w:tabs>
          <w:tab w:val="left" w:pos="567"/>
        </w:tabs>
        <w:spacing w:before="0"/>
        <w:ind w:left="567" w:right="1073" w:hanging="567"/>
        <w:jc w:val="left"/>
        <w:rPr>
          <w:sz w:val="22"/>
          <w:szCs w:val="22"/>
        </w:rPr>
      </w:pPr>
    </w:p>
    <w:p w14:paraId="6289541C" w14:textId="77777777" w:rsidR="00321332" w:rsidRPr="001A6F45" w:rsidRDefault="00321332" w:rsidP="00321332">
      <w:pPr>
        <w:pStyle w:val="BodyText"/>
        <w:tabs>
          <w:tab w:val="left" w:pos="567"/>
        </w:tabs>
        <w:spacing w:before="0"/>
        <w:ind w:left="567" w:right="1073" w:hanging="567"/>
        <w:jc w:val="left"/>
        <w:rPr>
          <w:sz w:val="22"/>
          <w:szCs w:val="22"/>
        </w:rPr>
      </w:pPr>
      <w:r w:rsidRPr="001A6F45">
        <w:rPr>
          <w:sz w:val="22"/>
          <w:szCs w:val="22"/>
        </w:rPr>
        <w:t>2.2</w:t>
      </w:r>
      <w:r w:rsidRPr="001A6F45">
        <w:rPr>
          <w:sz w:val="22"/>
          <w:szCs w:val="22"/>
        </w:rPr>
        <w:tab/>
        <w:t>Crossword will make available the following support throughout the Term:</w:t>
      </w:r>
    </w:p>
    <w:p w14:paraId="496CA1EC" w14:textId="77777777" w:rsidR="00321332" w:rsidRPr="001A6F45" w:rsidRDefault="00321332" w:rsidP="00321332">
      <w:pPr>
        <w:pStyle w:val="BodyText"/>
        <w:tabs>
          <w:tab w:val="left" w:pos="567"/>
        </w:tabs>
        <w:spacing w:before="0"/>
        <w:ind w:left="567" w:right="1073" w:hanging="567"/>
        <w:jc w:val="left"/>
        <w:rPr>
          <w:sz w:val="22"/>
          <w:szCs w:val="22"/>
        </w:rPr>
      </w:pPr>
      <w:r w:rsidRPr="001A6F45">
        <w:rPr>
          <w:sz w:val="22"/>
          <w:szCs w:val="22"/>
        </w:rPr>
        <w:t xml:space="preserve"> </w:t>
      </w:r>
    </w:p>
    <w:p w14:paraId="678CACDB" w14:textId="77777777" w:rsidR="00321332" w:rsidRPr="001A6F45" w:rsidRDefault="00321332" w:rsidP="00321332">
      <w:pPr>
        <w:pStyle w:val="BodyText"/>
        <w:numPr>
          <w:ilvl w:val="0"/>
          <w:numId w:val="2"/>
        </w:numPr>
        <w:tabs>
          <w:tab w:val="left" w:pos="567"/>
        </w:tabs>
        <w:spacing w:before="0"/>
        <w:ind w:left="567" w:right="1073" w:hanging="567"/>
        <w:jc w:val="left"/>
        <w:rPr>
          <w:sz w:val="22"/>
          <w:szCs w:val="22"/>
        </w:rPr>
      </w:pPr>
      <w:r w:rsidRPr="001A6F45">
        <w:rPr>
          <w:sz w:val="22"/>
          <w:szCs w:val="22"/>
        </w:rPr>
        <w:t>User support, including telephone and email support for up to two named Customer “super-users” during Business</w:t>
      </w:r>
      <w:r w:rsidRPr="001A6F45">
        <w:rPr>
          <w:spacing w:val="-2"/>
          <w:sz w:val="22"/>
          <w:szCs w:val="22"/>
        </w:rPr>
        <w:t xml:space="preserve"> </w:t>
      </w:r>
      <w:r w:rsidRPr="001A6F45">
        <w:rPr>
          <w:sz w:val="22"/>
          <w:szCs w:val="22"/>
        </w:rPr>
        <w:t xml:space="preserve">Hours (meaning 9.00am to 5.30pm (GMT) on Business Days).  </w:t>
      </w:r>
    </w:p>
    <w:p w14:paraId="1AD02A66" w14:textId="77777777" w:rsidR="00321332" w:rsidRPr="001A6F45" w:rsidRDefault="00321332" w:rsidP="00321332">
      <w:pPr>
        <w:pStyle w:val="BodyText"/>
        <w:tabs>
          <w:tab w:val="left" w:pos="567"/>
        </w:tabs>
        <w:spacing w:before="0"/>
        <w:ind w:left="567" w:right="1073"/>
        <w:jc w:val="left"/>
        <w:rPr>
          <w:sz w:val="22"/>
          <w:szCs w:val="22"/>
        </w:rPr>
      </w:pPr>
    </w:p>
    <w:p w14:paraId="3EF7408E" w14:textId="77777777" w:rsidR="00321332" w:rsidRPr="001A6F45" w:rsidRDefault="00321332" w:rsidP="00321332">
      <w:pPr>
        <w:pStyle w:val="BodyText"/>
        <w:numPr>
          <w:ilvl w:val="0"/>
          <w:numId w:val="2"/>
        </w:numPr>
        <w:tabs>
          <w:tab w:val="left" w:pos="567"/>
        </w:tabs>
        <w:spacing w:before="0"/>
        <w:ind w:left="567" w:right="1073" w:hanging="567"/>
        <w:jc w:val="left"/>
        <w:rPr>
          <w:sz w:val="22"/>
          <w:szCs w:val="22"/>
        </w:rPr>
      </w:pPr>
      <w:r w:rsidRPr="001A6F45">
        <w:rPr>
          <w:sz w:val="22"/>
          <w:szCs w:val="22"/>
        </w:rPr>
        <w:t>Technical application support including:</w:t>
      </w:r>
    </w:p>
    <w:p w14:paraId="2E745596" w14:textId="77777777" w:rsidR="00321332" w:rsidRPr="001A6F45" w:rsidRDefault="00321332" w:rsidP="00321332">
      <w:pPr>
        <w:pStyle w:val="ListParagraph"/>
        <w:numPr>
          <w:ilvl w:val="2"/>
          <w:numId w:val="1"/>
        </w:numPr>
        <w:tabs>
          <w:tab w:val="left" w:pos="567"/>
          <w:tab w:val="left" w:pos="1134"/>
        </w:tabs>
        <w:spacing w:before="37"/>
        <w:ind w:left="567" w:right="1234" w:firstLine="0"/>
        <w:jc w:val="left"/>
      </w:pPr>
      <w:r w:rsidRPr="001A6F45">
        <w:t>On-going portal availability monitoring with optional forwarding to</w:t>
      </w:r>
      <w:r w:rsidRPr="001A6F45">
        <w:rPr>
          <w:spacing w:val="-20"/>
        </w:rPr>
        <w:t xml:space="preserve"> </w:t>
      </w:r>
      <w:r w:rsidRPr="001A6F45">
        <w:t>the Customer</w:t>
      </w:r>
      <w:r w:rsidRPr="001A6F45">
        <w:rPr>
          <w:spacing w:val="-2"/>
        </w:rPr>
        <w:t xml:space="preserve"> </w:t>
      </w:r>
      <w:r w:rsidRPr="001A6F45">
        <w:t>point-of-contact;</w:t>
      </w:r>
    </w:p>
    <w:p w14:paraId="400438B4" w14:textId="77777777" w:rsidR="00321332" w:rsidRPr="001A6F45" w:rsidRDefault="00321332" w:rsidP="00321332">
      <w:pPr>
        <w:pStyle w:val="ListParagraph"/>
        <w:numPr>
          <w:ilvl w:val="2"/>
          <w:numId w:val="1"/>
        </w:numPr>
        <w:tabs>
          <w:tab w:val="left" w:pos="567"/>
          <w:tab w:val="left" w:pos="1134"/>
        </w:tabs>
        <w:spacing w:before="0"/>
        <w:ind w:left="567" w:firstLine="0"/>
        <w:jc w:val="left"/>
      </w:pPr>
      <w:r w:rsidRPr="001A6F45">
        <w:t>Support Engineer response during Business Hours;</w:t>
      </w:r>
    </w:p>
    <w:p w14:paraId="7D0029BA" w14:textId="1B475277" w:rsidR="00321332" w:rsidRDefault="00321332" w:rsidP="00321332">
      <w:pPr>
        <w:pStyle w:val="ListParagraph"/>
        <w:numPr>
          <w:ilvl w:val="2"/>
          <w:numId w:val="1"/>
        </w:numPr>
        <w:tabs>
          <w:tab w:val="left" w:pos="567"/>
          <w:tab w:val="left" w:pos="1134"/>
        </w:tabs>
        <w:spacing w:before="34"/>
        <w:ind w:left="567" w:firstLine="0"/>
        <w:jc w:val="left"/>
      </w:pPr>
      <w:r w:rsidRPr="001A6F45">
        <w:t>All Platform application maintenance and functionality</w:t>
      </w:r>
      <w:r w:rsidRPr="001A6F45">
        <w:rPr>
          <w:spacing w:val="-11"/>
        </w:rPr>
        <w:t xml:space="preserve"> </w:t>
      </w:r>
      <w:r w:rsidRPr="001A6F45">
        <w:t>releases;</w:t>
      </w:r>
    </w:p>
    <w:p w14:paraId="1A334E23" w14:textId="77777777" w:rsidR="00571DBC" w:rsidRPr="001A6F45" w:rsidRDefault="00571DBC" w:rsidP="00571DBC">
      <w:pPr>
        <w:pStyle w:val="ListParagraph"/>
        <w:tabs>
          <w:tab w:val="left" w:pos="567"/>
          <w:tab w:val="left" w:pos="1134"/>
        </w:tabs>
        <w:spacing w:before="34"/>
        <w:ind w:left="567" w:firstLine="0"/>
        <w:jc w:val="right"/>
      </w:pPr>
    </w:p>
    <w:p w14:paraId="6565C788" w14:textId="77777777" w:rsidR="00321332" w:rsidRPr="001A6F45" w:rsidRDefault="00321332" w:rsidP="00321332">
      <w:pPr>
        <w:pStyle w:val="ListParagraph"/>
        <w:tabs>
          <w:tab w:val="left" w:pos="567"/>
          <w:tab w:val="left" w:pos="1134"/>
        </w:tabs>
        <w:spacing w:before="34"/>
        <w:ind w:left="567" w:right="684" w:firstLine="0"/>
        <w:jc w:val="right"/>
      </w:pPr>
    </w:p>
    <w:p w14:paraId="0CA4A771" w14:textId="2F66F164" w:rsidR="00321332" w:rsidRPr="001A6F45" w:rsidRDefault="00321332" w:rsidP="00321332">
      <w:pPr>
        <w:pStyle w:val="ListParagraph"/>
        <w:numPr>
          <w:ilvl w:val="1"/>
          <w:numId w:val="4"/>
        </w:numPr>
        <w:tabs>
          <w:tab w:val="left" w:pos="567"/>
          <w:tab w:val="left" w:pos="1830"/>
        </w:tabs>
        <w:spacing w:before="3"/>
        <w:ind w:left="567" w:right="772" w:hanging="567"/>
      </w:pPr>
      <w:r w:rsidRPr="001A6F45">
        <w:lastRenderedPageBreak/>
        <w:t xml:space="preserve">Where recovery of the Customer Portal is necessary, the restoration point will be up to 48 hours previously and, for outages not caused by widespread issues relating to Amazon </w:t>
      </w:r>
      <w:r w:rsidRPr="001A6F45">
        <w:rPr>
          <w:spacing w:val="3"/>
        </w:rPr>
        <w:t>Web</w:t>
      </w:r>
      <w:r w:rsidRPr="001A6F45">
        <w:rPr>
          <w:spacing w:val="-21"/>
        </w:rPr>
        <w:t xml:space="preserve"> </w:t>
      </w:r>
      <w:r w:rsidRPr="001A6F45">
        <w:t xml:space="preserve">Services, such recovery shall be completed within 24 hours. </w:t>
      </w:r>
    </w:p>
    <w:p w14:paraId="23B85745" w14:textId="77777777" w:rsidR="00321332" w:rsidRPr="001A6F45" w:rsidRDefault="00321332" w:rsidP="00321332">
      <w:pPr>
        <w:tabs>
          <w:tab w:val="left" w:pos="567"/>
          <w:tab w:val="left" w:pos="1830"/>
        </w:tabs>
        <w:spacing w:before="3"/>
        <w:ind w:left="567" w:right="772" w:hanging="567"/>
      </w:pPr>
    </w:p>
    <w:p w14:paraId="71F8B4E6" w14:textId="77777777" w:rsidR="00321332" w:rsidRPr="001A6F45" w:rsidRDefault="00321332" w:rsidP="00321332">
      <w:pPr>
        <w:tabs>
          <w:tab w:val="left" w:pos="567"/>
          <w:tab w:val="left" w:pos="1242"/>
        </w:tabs>
        <w:ind w:left="567" w:right="685" w:hanging="567"/>
        <w:rPr>
          <w:b/>
        </w:rPr>
      </w:pPr>
      <w:r w:rsidRPr="001A6F45">
        <w:rPr>
          <w:b/>
        </w:rPr>
        <w:t>3.</w:t>
      </w:r>
      <w:r w:rsidRPr="001A6F45">
        <w:rPr>
          <w:b/>
        </w:rPr>
        <w:tab/>
        <w:t>Monitoring</w:t>
      </w:r>
    </w:p>
    <w:p w14:paraId="6D40DCA7" w14:textId="77777777" w:rsidR="00321332" w:rsidRPr="001A6F45" w:rsidRDefault="00321332" w:rsidP="00321332">
      <w:pPr>
        <w:tabs>
          <w:tab w:val="left" w:pos="0"/>
          <w:tab w:val="left" w:pos="1242"/>
        </w:tabs>
        <w:spacing w:before="190"/>
        <w:ind w:right="611"/>
      </w:pPr>
      <w:r w:rsidRPr="001A6F45">
        <w:t xml:space="preserve">Crossword will evidence on a monthly basis their compliance with the Service Commitment, via the provision of management information to Customer including uptime reports. </w:t>
      </w:r>
    </w:p>
    <w:p w14:paraId="6C5DF1AB" w14:textId="77777777" w:rsidR="00321332" w:rsidRPr="001A6F45" w:rsidRDefault="00321332" w:rsidP="00321332">
      <w:pPr>
        <w:tabs>
          <w:tab w:val="left" w:pos="567"/>
          <w:tab w:val="left" w:pos="1830"/>
        </w:tabs>
        <w:spacing w:before="3"/>
        <w:ind w:right="772"/>
      </w:pPr>
    </w:p>
    <w:p w14:paraId="6B0D28D3" w14:textId="77777777" w:rsidR="00321332" w:rsidRPr="001A6F45" w:rsidRDefault="00321332" w:rsidP="00321332">
      <w:pPr>
        <w:pStyle w:val="Heading2"/>
        <w:numPr>
          <w:ilvl w:val="0"/>
          <w:numId w:val="3"/>
        </w:numPr>
        <w:tabs>
          <w:tab w:val="left" w:pos="567"/>
        </w:tabs>
        <w:spacing w:before="138"/>
        <w:ind w:hanging="720"/>
        <w:rPr>
          <w:sz w:val="22"/>
          <w:szCs w:val="22"/>
        </w:rPr>
      </w:pPr>
      <w:r w:rsidRPr="001A6F45">
        <w:rPr>
          <w:sz w:val="22"/>
          <w:szCs w:val="22"/>
        </w:rPr>
        <w:t>Service</w:t>
      </w:r>
      <w:r w:rsidRPr="001A6F45">
        <w:rPr>
          <w:spacing w:val="-2"/>
          <w:sz w:val="22"/>
          <w:szCs w:val="22"/>
        </w:rPr>
        <w:t xml:space="preserve"> </w:t>
      </w:r>
      <w:r w:rsidRPr="001A6F45">
        <w:rPr>
          <w:sz w:val="22"/>
          <w:szCs w:val="22"/>
        </w:rPr>
        <w:t>Credits</w:t>
      </w:r>
    </w:p>
    <w:p w14:paraId="72E422A8" w14:textId="77777777" w:rsidR="00321332" w:rsidRPr="001A6F45" w:rsidRDefault="00321332" w:rsidP="00321332">
      <w:pPr>
        <w:pStyle w:val="BodyText"/>
        <w:tabs>
          <w:tab w:val="left" w:pos="567"/>
        </w:tabs>
        <w:spacing w:before="1"/>
        <w:ind w:left="567" w:hanging="567"/>
        <w:jc w:val="left"/>
        <w:rPr>
          <w:b/>
          <w:sz w:val="22"/>
          <w:szCs w:val="22"/>
        </w:rPr>
      </w:pPr>
    </w:p>
    <w:p w14:paraId="3512788C" w14:textId="77777777" w:rsidR="00321332" w:rsidRPr="001A6F45" w:rsidRDefault="00321332" w:rsidP="00321332">
      <w:pPr>
        <w:pStyle w:val="ListParagraph"/>
        <w:tabs>
          <w:tab w:val="left" w:pos="0"/>
          <w:tab w:val="left" w:pos="1242"/>
        </w:tabs>
        <w:spacing w:before="0"/>
        <w:ind w:left="0" w:right="623" w:firstLine="0"/>
        <w:jc w:val="left"/>
      </w:pPr>
      <w:r w:rsidRPr="001A6F45">
        <w:t xml:space="preserve">Service Credits are calculated as a percentage of the total charges paid by the Customer for the Services for the Quarter in which the error occurred in accordance with the table below. Higher levels of uptime are available </w:t>
      </w:r>
      <w:r w:rsidRPr="001A6F45">
        <w:rPr>
          <w:spacing w:val="3"/>
        </w:rPr>
        <w:t xml:space="preserve">by </w:t>
      </w:r>
      <w:r w:rsidRPr="001A6F45">
        <w:t>written</w:t>
      </w:r>
      <w:r w:rsidRPr="001A6F45">
        <w:rPr>
          <w:spacing w:val="-14"/>
        </w:rPr>
        <w:t xml:space="preserve"> </w:t>
      </w:r>
      <w:r w:rsidRPr="001A6F45">
        <w:t>agreement.</w:t>
      </w:r>
    </w:p>
    <w:p w14:paraId="20A773E5" w14:textId="77777777" w:rsidR="00321332" w:rsidRPr="001A6F45" w:rsidRDefault="00321332" w:rsidP="00321332">
      <w:pPr>
        <w:pStyle w:val="BodyText"/>
        <w:tabs>
          <w:tab w:val="left" w:pos="567"/>
        </w:tabs>
        <w:spacing w:before="10"/>
        <w:ind w:left="567" w:hanging="567"/>
        <w:jc w:val="left"/>
        <w:rPr>
          <w:sz w:val="22"/>
          <w:szCs w:val="22"/>
        </w:rPr>
      </w:pPr>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5"/>
        <w:gridCol w:w="2695"/>
      </w:tblGrid>
      <w:tr w:rsidR="00321332" w:rsidRPr="001A6F45" w14:paraId="7E85468F" w14:textId="77777777" w:rsidTr="002A46C3">
        <w:trPr>
          <w:trHeight w:val="465"/>
        </w:trPr>
        <w:tc>
          <w:tcPr>
            <w:tcW w:w="4755" w:type="dxa"/>
          </w:tcPr>
          <w:p w14:paraId="5315D448" w14:textId="77777777" w:rsidR="00321332" w:rsidRPr="001A6F45" w:rsidRDefault="00321332" w:rsidP="002A46C3">
            <w:pPr>
              <w:pStyle w:val="TableParagraph"/>
              <w:tabs>
                <w:tab w:val="left" w:pos="567"/>
              </w:tabs>
              <w:ind w:left="567" w:hanging="567"/>
              <w:rPr>
                <w:b/>
              </w:rPr>
            </w:pPr>
            <w:r w:rsidRPr="001A6F45">
              <w:rPr>
                <w:b/>
              </w:rPr>
              <w:t>Uptime Percentage</w:t>
            </w:r>
          </w:p>
        </w:tc>
        <w:tc>
          <w:tcPr>
            <w:tcW w:w="2695" w:type="dxa"/>
          </w:tcPr>
          <w:p w14:paraId="077DC1ED" w14:textId="77777777" w:rsidR="00321332" w:rsidRPr="001A6F45" w:rsidRDefault="00321332" w:rsidP="002A46C3">
            <w:pPr>
              <w:pStyle w:val="TableParagraph"/>
              <w:tabs>
                <w:tab w:val="left" w:pos="567"/>
              </w:tabs>
              <w:ind w:left="567" w:hanging="567"/>
              <w:rPr>
                <w:b/>
              </w:rPr>
            </w:pPr>
            <w:r w:rsidRPr="001A6F45">
              <w:rPr>
                <w:b/>
              </w:rPr>
              <w:t>Service Credit Percentage</w:t>
            </w:r>
          </w:p>
        </w:tc>
      </w:tr>
      <w:tr w:rsidR="00321332" w:rsidRPr="001A6F45" w14:paraId="2948046D" w14:textId="77777777" w:rsidTr="002A46C3">
        <w:trPr>
          <w:trHeight w:val="465"/>
        </w:trPr>
        <w:tc>
          <w:tcPr>
            <w:tcW w:w="4755" w:type="dxa"/>
          </w:tcPr>
          <w:p w14:paraId="59F0D542" w14:textId="77777777" w:rsidR="00321332" w:rsidRPr="001A6F45" w:rsidRDefault="00321332" w:rsidP="002A46C3">
            <w:pPr>
              <w:pStyle w:val="TableParagraph"/>
              <w:tabs>
                <w:tab w:val="left" w:pos="567"/>
              </w:tabs>
              <w:ind w:left="567" w:hanging="567"/>
            </w:pPr>
            <w:r w:rsidRPr="001A6F45">
              <w:t>Equal to or greater than 90.0% but less than 95.0%</w:t>
            </w:r>
          </w:p>
        </w:tc>
        <w:tc>
          <w:tcPr>
            <w:tcW w:w="2695" w:type="dxa"/>
          </w:tcPr>
          <w:p w14:paraId="073221D1" w14:textId="77777777" w:rsidR="00321332" w:rsidRPr="001A6F45" w:rsidRDefault="00321332" w:rsidP="002A46C3">
            <w:pPr>
              <w:pStyle w:val="TableParagraph"/>
              <w:tabs>
                <w:tab w:val="left" w:pos="567"/>
              </w:tabs>
              <w:ind w:left="567" w:hanging="567"/>
            </w:pPr>
            <w:r w:rsidRPr="001A6F45">
              <w:t>20%</w:t>
            </w:r>
          </w:p>
        </w:tc>
      </w:tr>
      <w:tr w:rsidR="00321332" w:rsidRPr="001A6F45" w14:paraId="0E673517" w14:textId="77777777" w:rsidTr="002A46C3">
        <w:trPr>
          <w:trHeight w:val="463"/>
        </w:trPr>
        <w:tc>
          <w:tcPr>
            <w:tcW w:w="4755" w:type="dxa"/>
          </w:tcPr>
          <w:p w14:paraId="4ADE9799" w14:textId="77777777" w:rsidR="00321332" w:rsidRPr="001A6F45" w:rsidRDefault="00321332" w:rsidP="002A46C3">
            <w:pPr>
              <w:pStyle w:val="TableParagraph"/>
              <w:tabs>
                <w:tab w:val="left" w:pos="567"/>
              </w:tabs>
              <w:spacing w:before="60"/>
              <w:ind w:left="567" w:hanging="567"/>
            </w:pPr>
            <w:r w:rsidRPr="001A6F45">
              <w:t>Less than 90.0%</w:t>
            </w:r>
          </w:p>
        </w:tc>
        <w:tc>
          <w:tcPr>
            <w:tcW w:w="2695" w:type="dxa"/>
          </w:tcPr>
          <w:p w14:paraId="586AA5CB" w14:textId="77777777" w:rsidR="00321332" w:rsidRPr="001A6F45" w:rsidRDefault="00321332" w:rsidP="002A46C3">
            <w:pPr>
              <w:pStyle w:val="TableParagraph"/>
              <w:tabs>
                <w:tab w:val="left" w:pos="567"/>
              </w:tabs>
              <w:spacing w:before="60"/>
              <w:ind w:left="567" w:hanging="567"/>
            </w:pPr>
            <w:r w:rsidRPr="001A6F45">
              <w:t>40%</w:t>
            </w:r>
          </w:p>
        </w:tc>
      </w:tr>
      <w:tr w:rsidR="00321332" w:rsidRPr="001A6F45" w14:paraId="0482387A" w14:textId="77777777" w:rsidTr="002A46C3">
        <w:trPr>
          <w:trHeight w:val="463"/>
        </w:trPr>
        <w:tc>
          <w:tcPr>
            <w:tcW w:w="4755" w:type="dxa"/>
          </w:tcPr>
          <w:p w14:paraId="286C6CC1" w14:textId="77777777" w:rsidR="00321332" w:rsidRPr="001A6F45" w:rsidRDefault="00321332" w:rsidP="002A46C3">
            <w:pPr>
              <w:pStyle w:val="TableParagraph"/>
              <w:tabs>
                <w:tab w:val="left" w:pos="567"/>
              </w:tabs>
              <w:spacing w:before="60"/>
              <w:ind w:left="567" w:hanging="567"/>
            </w:pPr>
            <w:r w:rsidRPr="001A6F45">
              <w:t>Less than 50%</w:t>
            </w:r>
          </w:p>
        </w:tc>
        <w:tc>
          <w:tcPr>
            <w:tcW w:w="2695" w:type="dxa"/>
          </w:tcPr>
          <w:p w14:paraId="6294E0D5" w14:textId="77777777" w:rsidR="00321332" w:rsidRPr="001A6F45" w:rsidRDefault="00321332" w:rsidP="002A46C3">
            <w:pPr>
              <w:pStyle w:val="TableParagraph"/>
              <w:tabs>
                <w:tab w:val="left" w:pos="567"/>
              </w:tabs>
              <w:spacing w:before="60"/>
              <w:ind w:left="567" w:hanging="567"/>
            </w:pPr>
            <w:r w:rsidRPr="001A6F45">
              <w:t>80%</w:t>
            </w:r>
          </w:p>
        </w:tc>
      </w:tr>
    </w:tbl>
    <w:p w14:paraId="12BD65C8" w14:textId="77777777" w:rsidR="00321332" w:rsidRPr="001A6F45" w:rsidRDefault="00321332" w:rsidP="00321332">
      <w:pPr>
        <w:tabs>
          <w:tab w:val="left" w:pos="567"/>
          <w:tab w:val="left" w:pos="1242"/>
        </w:tabs>
        <w:spacing w:before="152"/>
        <w:ind w:right="731"/>
      </w:pPr>
    </w:p>
    <w:p w14:paraId="06F66BBF" w14:textId="77777777" w:rsidR="00321332" w:rsidRPr="001A6F45" w:rsidRDefault="00321332" w:rsidP="00321332">
      <w:pPr>
        <w:pStyle w:val="Heading1"/>
        <w:numPr>
          <w:ilvl w:val="0"/>
          <w:numId w:val="3"/>
        </w:numPr>
        <w:tabs>
          <w:tab w:val="left" w:pos="567"/>
          <w:tab w:val="left" w:pos="1110"/>
        </w:tabs>
        <w:ind w:left="567" w:hanging="567"/>
        <w:rPr>
          <w:rFonts w:ascii="Calibri"/>
        </w:rPr>
      </w:pPr>
      <w:r w:rsidRPr="001A6F45">
        <w:rPr>
          <w:rFonts w:ascii="Calibri"/>
        </w:rPr>
        <w:t>Credit Request and Payment</w:t>
      </w:r>
      <w:r w:rsidRPr="001A6F45">
        <w:rPr>
          <w:rFonts w:ascii="Calibri"/>
          <w:spacing w:val="-4"/>
        </w:rPr>
        <w:t xml:space="preserve"> </w:t>
      </w:r>
      <w:r w:rsidRPr="001A6F45">
        <w:rPr>
          <w:rFonts w:ascii="Calibri"/>
        </w:rPr>
        <w:t>Procedures</w:t>
      </w:r>
    </w:p>
    <w:p w14:paraId="369039CE" w14:textId="77777777" w:rsidR="00321332" w:rsidRPr="001A6F45" w:rsidRDefault="00321332" w:rsidP="00321332">
      <w:pPr>
        <w:pStyle w:val="BodyText"/>
        <w:tabs>
          <w:tab w:val="left" w:pos="567"/>
        </w:tabs>
        <w:spacing w:before="7"/>
        <w:ind w:left="567" w:hanging="567"/>
        <w:jc w:val="left"/>
        <w:rPr>
          <w:rFonts w:ascii="Calibri"/>
          <w:b/>
          <w:sz w:val="22"/>
          <w:szCs w:val="22"/>
        </w:rPr>
      </w:pPr>
    </w:p>
    <w:p w14:paraId="56066F3F" w14:textId="77777777" w:rsidR="00321332" w:rsidRPr="001A6F45" w:rsidRDefault="00321332" w:rsidP="00321332">
      <w:pPr>
        <w:pStyle w:val="ListParagraph"/>
        <w:numPr>
          <w:ilvl w:val="1"/>
          <w:numId w:val="3"/>
        </w:numPr>
        <w:tabs>
          <w:tab w:val="left" w:pos="567"/>
          <w:tab w:val="left" w:pos="1242"/>
        </w:tabs>
        <w:spacing w:before="0"/>
        <w:ind w:left="567" w:right="740" w:hanging="567"/>
      </w:pPr>
      <w:r w:rsidRPr="001A6F45">
        <w:t>To receive a Service Credit, Customer must submit a claim in writing. To be</w:t>
      </w:r>
      <w:r w:rsidRPr="001A6F45">
        <w:rPr>
          <w:spacing w:val="-27"/>
        </w:rPr>
        <w:t xml:space="preserve"> </w:t>
      </w:r>
      <w:r w:rsidRPr="001A6F45">
        <w:t>eligible, the credit request must be received by Crossword no later than 30 days after receipt by Customer of the management information for the relevant period. Any credit request must</w:t>
      </w:r>
      <w:r w:rsidRPr="001A6F45">
        <w:rPr>
          <w:spacing w:val="-5"/>
        </w:rPr>
        <w:t xml:space="preserve"> </w:t>
      </w:r>
      <w:r w:rsidRPr="001A6F45">
        <w:t>include:</w:t>
      </w:r>
    </w:p>
    <w:p w14:paraId="4FE6B4CE" w14:textId="77777777" w:rsidR="00321332" w:rsidRPr="001A6F45" w:rsidRDefault="00321332" w:rsidP="00321332">
      <w:pPr>
        <w:pStyle w:val="BodyText"/>
        <w:tabs>
          <w:tab w:val="left" w:pos="567"/>
        </w:tabs>
        <w:spacing w:before="0"/>
        <w:ind w:left="567" w:hanging="567"/>
        <w:jc w:val="left"/>
        <w:rPr>
          <w:sz w:val="22"/>
          <w:szCs w:val="22"/>
        </w:rPr>
      </w:pPr>
    </w:p>
    <w:p w14:paraId="60B31268" w14:textId="77777777" w:rsidR="00321332" w:rsidRPr="001A6F45" w:rsidRDefault="00321332" w:rsidP="00321332">
      <w:pPr>
        <w:pStyle w:val="ListParagraph"/>
        <w:numPr>
          <w:ilvl w:val="2"/>
          <w:numId w:val="3"/>
        </w:numPr>
        <w:tabs>
          <w:tab w:val="left" w:pos="993"/>
          <w:tab w:val="left" w:pos="1807"/>
          <w:tab w:val="left" w:pos="1808"/>
        </w:tabs>
        <w:spacing w:before="0"/>
        <w:ind w:left="567" w:firstLine="0"/>
        <w:jc w:val="left"/>
      </w:pPr>
      <w:r w:rsidRPr="001A6F45">
        <w:t>the words “SLA Credit Request” in the subject</w:t>
      </w:r>
      <w:r w:rsidRPr="001A6F45">
        <w:rPr>
          <w:spacing w:val="-4"/>
        </w:rPr>
        <w:t xml:space="preserve"> </w:t>
      </w:r>
      <w:r w:rsidRPr="001A6F45">
        <w:t>line; and</w:t>
      </w:r>
    </w:p>
    <w:p w14:paraId="50D61C3D" w14:textId="77777777" w:rsidR="00321332" w:rsidRPr="001A6F45" w:rsidRDefault="00321332" w:rsidP="00321332">
      <w:pPr>
        <w:pStyle w:val="ListParagraph"/>
        <w:numPr>
          <w:ilvl w:val="2"/>
          <w:numId w:val="3"/>
        </w:numPr>
        <w:tabs>
          <w:tab w:val="left" w:pos="993"/>
          <w:tab w:val="left" w:pos="1807"/>
          <w:tab w:val="left" w:pos="1808"/>
        </w:tabs>
        <w:spacing w:before="120"/>
        <w:ind w:left="567" w:firstLine="0"/>
        <w:jc w:val="left"/>
      </w:pPr>
      <w:r w:rsidRPr="001A6F45">
        <w:t>the dates and durations of each period of</w:t>
      </w:r>
      <w:r w:rsidRPr="001A6F45">
        <w:rPr>
          <w:spacing w:val="1"/>
        </w:rPr>
        <w:t xml:space="preserve"> </w:t>
      </w:r>
      <w:r w:rsidRPr="001A6F45">
        <w:t>Downtime.</w:t>
      </w:r>
    </w:p>
    <w:p w14:paraId="41061EAF" w14:textId="77777777" w:rsidR="00321332" w:rsidRPr="001A6F45" w:rsidRDefault="00321332" w:rsidP="00321332">
      <w:pPr>
        <w:pStyle w:val="BodyText"/>
        <w:tabs>
          <w:tab w:val="left" w:pos="567"/>
        </w:tabs>
        <w:spacing w:before="10"/>
        <w:ind w:left="567" w:hanging="567"/>
        <w:jc w:val="left"/>
        <w:rPr>
          <w:sz w:val="22"/>
          <w:szCs w:val="22"/>
        </w:rPr>
      </w:pPr>
    </w:p>
    <w:p w14:paraId="22D40734" w14:textId="77777777" w:rsidR="00321332" w:rsidRPr="001A6F45" w:rsidRDefault="00321332" w:rsidP="00321332">
      <w:pPr>
        <w:pStyle w:val="ListParagraph"/>
        <w:numPr>
          <w:ilvl w:val="1"/>
          <w:numId w:val="3"/>
        </w:numPr>
        <w:tabs>
          <w:tab w:val="left" w:pos="567"/>
          <w:tab w:val="left" w:pos="1242"/>
        </w:tabs>
        <w:spacing w:before="0"/>
        <w:ind w:left="567" w:right="685" w:hanging="567"/>
        <w:jc w:val="left"/>
      </w:pPr>
      <w:r w:rsidRPr="001A6F45">
        <w:t xml:space="preserve">Crossword will issue the Service Credit to the Customer within one month of the confirmation by Crossword of the Customer’s request.  </w:t>
      </w:r>
    </w:p>
    <w:p w14:paraId="3B251162" w14:textId="77777777" w:rsidR="00321332" w:rsidRPr="001A6F45" w:rsidRDefault="00321332" w:rsidP="00321332">
      <w:pPr>
        <w:pStyle w:val="ListParagraph"/>
        <w:numPr>
          <w:ilvl w:val="1"/>
          <w:numId w:val="3"/>
        </w:numPr>
        <w:tabs>
          <w:tab w:val="left" w:pos="567"/>
          <w:tab w:val="left" w:pos="1242"/>
        </w:tabs>
        <w:spacing w:before="152"/>
        <w:ind w:left="567" w:right="731" w:hanging="567"/>
        <w:jc w:val="left"/>
      </w:pPr>
      <w:r w:rsidRPr="001A6F45">
        <w:t>Crossword will apply any Service Credits only against future payments otherwise due from the Customer. At Crossword’s discretion, Crossword may issue the Service Credit to the billing details the Customer used to pay for the billing cycle in which the error occurred. Service Credits may not be transferred or applied to any other account.</w:t>
      </w:r>
    </w:p>
    <w:p w14:paraId="1818BEFC" w14:textId="39128558" w:rsidR="00321332" w:rsidRDefault="00321332" w:rsidP="00321332">
      <w:pPr>
        <w:pStyle w:val="Heading2"/>
        <w:tabs>
          <w:tab w:val="left" w:pos="567"/>
        </w:tabs>
        <w:spacing w:before="0"/>
        <w:ind w:left="0" w:firstLine="0"/>
        <w:rPr>
          <w:sz w:val="22"/>
          <w:szCs w:val="22"/>
        </w:rPr>
      </w:pPr>
    </w:p>
    <w:p w14:paraId="16925484" w14:textId="06C113BD" w:rsidR="00321332" w:rsidRDefault="00321332" w:rsidP="00321332">
      <w:pPr>
        <w:pStyle w:val="Heading2"/>
        <w:tabs>
          <w:tab w:val="left" w:pos="567"/>
        </w:tabs>
        <w:spacing w:before="0"/>
        <w:ind w:left="0" w:firstLine="0"/>
        <w:rPr>
          <w:sz w:val="22"/>
          <w:szCs w:val="22"/>
        </w:rPr>
      </w:pPr>
    </w:p>
    <w:p w14:paraId="381EED96" w14:textId="158D689D" w:rsidR="00321332" w:rsidRDefault="00321332" w:rsidP="00321332">
      <w:pPr>
        <w:pStyle w:val="Heading2"/>
        <w:tabs>
          <w:tab w:val="left" w:pos="567"/>
        </w:tabs>
        <w:spacing w:before="0"/>
        <w:ind w:left="0" w:firstLine="0"/>
        <w:rPr>
          <w:sz w:val="22"/>
          <w:szCs w:val="22"/>
        </w:rPr>
      </w:pPr>
    </w:p>
    <w:p w14:paraId="6CF30FB2" w14:textId="77777777" w:rsidR="00321332" w:rsidRPr="001A6F45" w:rsidRDefault="00321332" w:rsidP="00321332">
      <w:pPr>
        <w:pStyle w:val="Heading2"/>
        <w:tabs>
          <w:tab w:val="left" w:pos="567"/>
        </w:tabs>
        <w:spacing w:before="0"/>
        <w:ind w:left="0" w:firstLine="0"/>
        <w:rPr>
          <w:sz w:val="22"/>
          <w:szCs w:val="22"/>
        </w:rPr>
      </w:pPr>
    </w:p>
    <w:p w14:paraId="08638FFC" w14:textId="77777777" w:rsidR="00321332" w:rsidRPr="001A6F45" w:rsidRDefault="00321332" w:rsidP="00321332">
      <w:pPr>
        <w:pStyle w:val="Heading2"/>
        <w:tabs>
          <w:tab w:val="left" w:pos="567"/>
        </w:tabs>
        <w:spacing w:before="0"/>
        <w:ind w:left="567" w:firstLine="0"/>
        <w:rPr>
          <w:sz w:val="22"/>
          <w:szCs w:val="22"/>
        </w:rPr>
      </w:pPr>
    </w:p>
    <w:p w14:paraId="6E976021" w14:textId="77777777" w:rsidR="00321332" w:rsidRPr="001A6F45" w:rsidRDefault="00321332" w:rsidP="00321332">
      <w:pPr>
        <w:pStyle w:val="Heading2"/>
        <w:numPr>
          <w:ilvl w:val="0"/>
          <w:numId w:val="3"/>
        </w:numPr>
        <w:tabs>
          <w:tab w:val="left" w:pos="567"/>
        </w:tabs>
        <w:spacing w:before="0"/>
        <w:ind w:left="567" w:hanging="567"/>
        <w:rPr>
          <w:sz w:val="22"/>
          <w:szCs w:val="22"/>
        </w:rPr>
      </w:pPr>
      <w:r w:rsidRPr="001A6F45">
        <w:rPr>
          <w:sz w:val="22"/>
          <w:szCs w:val="22"/>
        </w:rPr>
        <w:t>SLA</w:t>
      </w:r>
      <w:r w:rsidRPr="001A6F45">
        <w:rPr>
          <w:spacing w:val="-1"/>
          <w:sz w:val="22"/>
          <w:szCs w:val="22"/>
        </w:rPr>
        <w:t xml:space="preserve"> </w:t>
      </w:r>
      <w:r w:rsidRPr="001A6F45">
        <w:rPr>
          <w:sz w:val="22"/>
          <w:szCs w:val="22"/>
        </w:rPr>
        <w:t xml:space="preserve">Exclusions  </w:t>
      </w:r>
    </w:p>
    <w:p w14:paraId="404FCAEC" w14:textId="77777777" w:rsidR="00321332" w:rsidRPr="001A6F45" w:rsidRDefault="00321332" w:rsidP="00321332">
      <w:pPr>
        <w:pStyle w:val="BodyText"/>
        <w:tabs>
          <w:tab w:val="left" w:pos="0"/>
        </w:tabs>
        <w:spacing w:before="195"/>
        <w:ind w:left="0" w:right="734"/>
        <w:jc w:val="left"/>
        <w:rPr>
          <w:sz w:val="22"/>
          <w:szCs w:val="22"/>
        </w:rPr>
      </w:pPr>
      <w:r w:rsidRPr="001A6F45">
        <w:rPr>
          <w:sz w:val="22"/>
          <w:szCs w:val="22"/>
        </w:rPr>
        <w:t>Any unavailability, suspension or termination of the Subscription Services that result from:</w:t>
      </w:r>
    </w:p>
    <w:p w14:paraId="5028A02B" w14:textId="77777777" w:rsidR="00321332" w:rsidRPr="001A6F45" w:rsidRDefault="00321332" w:rsidP="00321332">
      <w:pPr>
        <w:pStyle w:val="BodyText"/>
        <w:tabs>
          <w:tab w:val="left" w:pos="1134"/>
        </w:tabs>
        <w:spacing w:before="195"/>
        <w:ind w:left="1134" w:right="734" w:hanging="567"/>
        <w:jc w:val="left"/>
        <w:rPr>
          <w:sz w:val="22"/>
          <w:szCs w:val="22"/>
        </w:rPr>
      </w:pPr>
      <w:r w:rsidRPr="001A6F45">
        <w:rPr>
          <w:sz w:val="22"/>
          <w:szCs w:val="22"/>
        </w:rPr>
        <w:lastRenderedPageBreak/>
        <w:t>(</w:t>
      </w:r>
      <w:proofErr w:type="spellStart"/>
      <w:r w:rsidRPr="001A6F45">
        <w:rPr>
          <w:sz w:val="22"/>
          <w:szCs w:val="22"/>
        </w:rPr>
        <w:t>i</w:t>
      </w:r>
      <w:proofErr w:type="spellEnd"/>
      <w:r w:rsidRPr="001A6F45">
        <w:rPr>
          <w:sz w:val="22"/>
          <w:szCs w:val="22"/>
        </w:rPr>
        <w:t xml:space="preserve">) </w:t>
      </w:r>
      <w:r w:rsidRPr="001A6F45">
        <w:rPr>
          <w:sz w:val="22"/>
          <w:szCs w:val="22"/>
        </w:rPr>
        <w:tab/>
        <w:t>factors outside of Crossword’s reasonable control, including (but not limited to) any force</w:t>
      </w:r>
      <w:r w:rsidRPr="001A6F45">
        <w:rPr>
          <w:spacing w:val="-31"/>
          <w:sz w:val="22"/>
          <w:szCs w:val="22"/>
        </w:rPr>
        <w:t xml:space="preserve"> </w:t>
      </w:r>
      <w:r w:rsidRPr="001A6F45">
        <w:rPr>
          <w:sz w:val="22"/>
          <w:szCs w:val="22"/>
        </w:rPr>
        <w:t>majeure event or Internet access or was caused by failures of Amazon Web Services;</w:t>
      </w:r>
    </w:p>
    <w:p w14:paraId="419562B2" w14:textId="77777777" w:rsidR="00321332" w:rsidRPr="001A6F45" w:rsidRDefault="00321332" w:rsidP="00321332">
      <w:pPr>
        <w:pStyle w:val="BodyText"/>
        <w:tabs>
          <w:tab w:val="left" w:pos="1134"/>
        </w:tabs>
        <w:spacing w:before="0"/>
        <w:ind w:left="1134" w:right="524" w:hanging="567"/>
        <w:jc w:val="left"/>
        <w:rPr>
          <w:sz w:val="22"/>
          <w:szCs w:val="22"/>
        </w:rPr>
      </w:pPr>
      <w:r w:rsidRPr="001A6F45">
        <w:rPr>
          <w:sz w:val="22"/>
          <w:szCs w:val="22"/>
        </w:rPr>
        <w:t xml:space="preserve">(ii) </w:t>
      </w:r>
      <w:r w:rsidRPr="001A6F45">
        <w:rPr>
          <w:sz w:val="22"/>
          <w:szCs w:val="22"/>
        </w:rPr>
        <w:tab/>
        <w:t xml:space="preserve">any actions or inactions of the Customer or any Third Party; </w:t>
      </w:r>
    </w:p>
    <w:p w14:paraId="1AF80EAC" w14:textId="77777777" w:rsidR="00321332" w:rsidRPr="001A6F45" w:rsidRDefault="00321332" w:rsidP="00321332">
      <w:pPr>
        <w:pStyle w:val="BodyText"/>
        <w:tabs>
          <w:tab w:val="left" w:pos="1134"/>
        </w:tabs>
        <w:spacing w:before="0"/>
        <w:ind w:left="1134" w:right="524" w:hanging="567"/>
        <w:jc w:val="left"/>
        <w:rPr>
          <w:sz w:val="22"/>
          <w:szCs w:val="22"/>
        </w:rPr>
      </w:pPr>
      <w:r w:rsidRPr="001A6F45">
        <w:rPr>
          <w:sz w:val="22"/>
          <w:szCs w:val="22"/>
        </w:rPr>
        <w:t xml:space="preserve">(iii) </w:t>
      </w:r>
      <w:r w:rsidRPr="001A6F45">
        <w:rPr>
          <w:sz w:val="22"/>
          <w:szCs w:val="22"/>
        </w:rPr>
        <w:tab/>
        <w:t>the Customer’s equipment, software or other technology and/or Third Party equipment, software</w:t>
      </w:r>
      <w:r w:rsidRPr="001A6F45">
        <w:rPr>
          <w:spacing w:val="-32"/>
          <w:sz w:val="22"/>
          <w:szCs w:val="22"/>
        </w:rPr>
        <w:t xml:space="preserve"> </w:t>
      </w:r>
      <w:r w:rsidRPr="001A6F45">
        <w:rPr>
          <w:sz w:val="22"/>
          <w:szCs w:val="22"/>
        </w:rPr>
        <w:t xml:space="preserve">or other technology; or </w:t>
      </w:r>
    </w:p>
    <w:p w14:paraId="3957A551" w14:textId="77777777" w:rsidR="00321332" w:rsidRPr="001A6F45" w:rsidRDefault="00321332" w:rsidP="00321332">
      <w:pPr>
        <w:pStyle w:val="BodyText"/>
        <w:tabs>
          <w:tab w:val="left" w:pos="1134"/>
        </w:tabs>
        <w:spacing w:before="0"/>
        <w:ind w:left="1134" w:right="524" w:hanging="567"/>
        <w:jc w:val="left"/>
        <w:rPr>
          <w:sz w:val="22"/>
          <w:szCs w:val="22"/>
        </w:rPr>
      </w:pPr>
      <w:r w:rsidRPr="001A6F45">
        <w:rPr>
          <w:sz w:val="22"/>
          <w:szCs w:val="22"/>
        </w:rPr>
        <w:t>(iv</w:t>
      </w:r>
      <w:r w:rsidRPr="001A6F45">
        <w:rPr>
          <w:sz w:val="22"/>
          <w:szCs w:val="22"/>
        </w:rPr>
        <w:tab/>
        <w:t>arising from Crossword’s suspension or termination of the Customer’s right to use the Services in accordance with the Software as a Service Agreement between the parties,</w:t>
      </w:r>
    </w:p>
    <w:p w14:paraId="726DDD2E" w14:textId="77777777" w:rsidR="00321332" w:rsidRPr="001A6F45" w:rsidRDefault="00321332" w:rsidP="00321332">
      <w:pPr>
        <w:pStyle w:val="BodyText"/>
        <w:tabs>
          <w:tab w:val="left" w:pos="567"/>
        </w:tabs>
        <w:spacing w:before="0"/>
        <w:ind w:left="1134" w:right="524" w:hanging="567"/>
        <w:jc w:val="left"/>
        <w:rPr>
          <w:sz w:val="22"/>
          <w:szCs w:val="22"/>
        </w:rPr>
      </w:pPr>
    </w:p>
    <w:p w14:paraId="265AAF99" w14:textId="7BCB15DC" w:rsidR="006E3B1B" w:rsidRDefault="00321332" w:rsidP="00321332">
      <w:r w:rsidRPr="001A6F45">
        <w:t xml:space="preserve">shall not be included </w:t>
      </w:r>
      <w:r>
        <w:t>in the calculation of D</w:t>
      </w:r>
    </w:p>
    <w:sectPr w:rsidR="006E3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01D7"/>
    <w:multiLevelType w:val="hybridMultilevel"/>
    <w:tmpl w:val="E41ED9C0"/>
    <w:lvl w:ilvl="0" w:tplc="65166602">
      <w:start w:val="1"/>
      <w:numFmt w:val="lowerLetter"/>
      <w:lvlText w:val="%1)"/>
      <w:lvlJc w:val="left"/>
      <w:pPr>
        <w:ind w:left="1436" w:hanging="62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 w15:restartNumberingAfterBreak="0">
    <w:nsid w:val="1D3A7811"/>
    <w:multiLevelType w:val="multilevel"/>
    <w:tmpl w:val="F668961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6844681"/>
    <w:multiLevelType w:val="hybridMultilevel"/>
    <w:tmpl w:val="F356E582"/>
    <w:lvl w:ilvl="0" w:tplc="45B6C99C">
      <w:start w:val="1"/>
      <w:numFmt w:val="decimal"/>
      <w:lvlText w:val="%1."/>
      <w:lvlJc w:val="left"/>
      <w:pPr>
        <w:ind w:left="816" w:hanging="428"/>
        <w:jc w:val="right"/>
      </w:pPr>
      <w:rPr>
        <w:rFonts w:hint="default"/>
        <w:b/>
        <w:bCs/>
        <w:spacing w:val="-1"/>
        <w:w w:val="99"/>
        <w:lang w:val="en-GB" w:eastAsia="en-GB" w:bidi="en-GB"/>
      </w:rPr>
    </w:lvl>
    <w:lvl w:ilvl="1" w:tplc="04BCEE04">
      <w:start w:val="1"/>
      <w:numFmt w:val="lowerLetter"/>
      <w:lvlText w:val="%2."/>
      <w:lvlJc w:val="left"/>
      <w:pPr>
        <w:ind w:left="1829" w:hanging="360"/>
        <w:jc w:val="left"/>
      </w:pPr>
      <w:rPr>
        <w:rFonts w:ascii="Arial" w:eastAsia="Arial" w:hAnsi="Arial" w:cs="Arial" w:hint="default"/>
        <w:spacing w:val="-1"/>
        <w:w w:val="99"/>
        <w:sz w:val="20"/>
        <w:szCs w:val="20"/>
        <w:lang w:val="en-GB" w:eastAsia="en-GB" w:bidi="en-GB"/>
      </w:rPr>
    </w:lvl>
    <w:lvl w:ilvl="2" w:tplc="8F287622">
      <w:start w:val="1"/>
      <w:numFmt w:val="lowerRoman"/>
      <w:lvlText w:val="%3."/>
      <w:lvlJc w:val="left"/>
      <w:pPr>
        <w:ind w:left="2549" w:hanging="281"/>
        <w:jc w:val="right"/>
      </w:pPr>
      <w:rPr>
        <w:rFonts w:ascii="Arial" w:eastAsia="Arial" w:hAnsi="Arial" w:cs="Arial" w:hint="default"/>
        <w:spacing w:val="-2"/>
        <w:w w:val="99"/>
        <w:sz w:val="20"/>
        <w:szCs w:val="20"/>
        <w:lang w:val="en-GB" w:eastAsia="en-GB" w:bidi="en-GB"/>
      </w:rPr>
    </w:lvl>
    <w:lvl w:ilvl="3" w:tplc="62F0F442">
      <w:numFmt w:val="bullet"/>
      <w:lvlText w:val="•"/>
      <w:lvlJc w:val="left"/>
      <w:pPr>
        <w:ind w:left="1820" w:hanging="281"/>
      </w:pPr>
      <w:rPr>
        <w:rFonts w:hint="default"/>
        <w:lang w:val="en-GB" w:eastAsia="en-GB" w:bidi="en-GB"/>
      </w:rPr>
    </w:lvl>
    <w:lvl w:ilvl="4" w:tplc="15246850">
      <w:numFmt w:val="bullet"/>
      <w:lvlText w:val="•"/>
      <w:lvlJc w:val="left"/>
      <w:pPr>
        <w:ind w:left="2540" w:hanging="281"/>
      </w:pPr>
      <w:rPr>
        <w:rFonts w:hint="default"/>
        <w:lang w:val="en-GB" w:eastAsia="en-GB" w:bidi="en-GB"/>
      </w:rPr>
    </w:lvl>
    <w:lvl w:ilvl="5" w:tplc="21C4E672">
      <w:numFmt w:val="bullet"/>
      <w:lvlText w:val="•"/>
      <w:lvlJc w:val="left"/>
      <w:pPr>
        <w:ind w:left="3737" w:hanging="281"/>
      </w:pPr>
      <w:rPr>
        <w:rFonts w:hint="default"/>
        <w:lang w:val="en-GB" w:eastAsia="en-GB" w:bidi="en-GB"/>
      </w:rPr>
    </w:lvl>
    <w:lvl w:ilvl="6" w:tplc="5C188426">
      <w:numFmt w:val="bullet"/>
      <w:lvlText w:val="•"/>
      <w:lvlJc w:val="left"/>
      <w:pPr>
        <w:ind w:left="4935" w:hanging="281"/>
      </w:pPr>
      <w:rPr>
        <w:rFonts w:hint="default"/>
        <w:lang w:val="en-GB" w:eastAsia="en-GB" w:bidi="en-GB"/>
      </w:rPr>
    </w:lvl>
    <w:lvl w:ilvl="7" w:tplc="064CEB8C">
      <w:numFmt w:val="bullet"/>
      <w:lvlText w:val="•"/>
      <w:lvlJc w:val="left"/>
      <w:pPr>
        <w:ind w:left="6133" w:hanging="281"/>
      </w:pPr>
      <w:rPr>
        <w:rFonts w:hint="default"/>
        <w:lang w:val="en-GB" w:eastAsia="en-GB" w:bidi="en-GB"/>
      </w:rPr>
    </w:lvl>
    <w:lvl w:ilvl="8" w:tplc="EA902742">
      <w:numFmt w:val="bullet"/>
      <w:lvlText w:val="•"/>
      <w:lvlJc w:val="left"/>
      <w:pPr>
        <w:ind w:left="7330" w:hanging="281"/>
      </w:pPr>
      <w:rPr>
        <w:rFonts w:hint="default"/>
        <w:lang w:val="en-GB" w:eastAsia="en-GB" w:bidi="en-GB"/>
      </w:rPr>
    </w:lvl>
  </w:abstractNum>
  <w:abstractNum w:abstractNumId="3" w15:restartNumberingAfterBreak="0">
    <w:nsid w:val="6284214B"/>
    <w:multiLevelType w:val="hybridMultilevel"/>
    <w:tmpl w:val="0C78927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32"/>
    <w:rsid w:val="00321332"/>
    <w:rsid w:val="00571DBC"/>
    <w:rsid w:val="006E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3043"/>
  <w15:chartTrackingRefBased/>
  <w15:docId w15:val="{EC71906B-FE43-453B-96E4-6BBDA5B4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3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321332"/>
    <w:pPr>
      <w:ind w:left="1109"/>
      <w:outlineLvl w:val="0"/>
    </w:pPr>
    <w:rPr>
      <w:b/>
      <w:bCs/>
    </w:rPr>
  </w:style>
  <w:style w:type="paragraph" w:styleId="Heading2">
    <w:name w:val="heading 2"/>
    <w:basedOn w:val="Normal"/>
    <w:link w:val="Heading2Char"/>
    <w:uiPriority w:val="9"/>
    <w:unhideWhenUsed/>
    <w:qFormat/>
    <w:rsid w:val="00321332"/>
    <w:pPr>
      <w:spacing w:before="122"/>
      <w:ind w:left="955" w:hanging="56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332"/>
    <w:rPr>
      <w:rFonts w:ascii="Arial" w:eastAsia="Arial" w:hAnsi="Arial" w:cs="Arial"/>
      <w:b/>
      <w:bCs/>
      <w:lang w:eastAsia="en-GB" w:bidi="en-GB"/>
    </w:rPr>
  </w:style>
  <w:style w:type="character" w:customStyle="1" w:styleId="Heading2Char">
    <w:name w:val="Heading 2 Char"/>
    <w:basedOn w:val="DefaultParagraphFont"/>
    <w:link w:val="Heading2"/>
    <w:uiPriority w:val="9"/>
    <w:rsid w:val="00321332"/>
    <w:rPr>
      <w:rFonts w:ascii="Arial" w:eastAsia="Arial" w:hAnsi="Arial" w:cs="Arial"/>
      <w:b/>
      <w:bCs/>
      <w:sz w:val="20"/>
      <w:szCs w:val="20"/>
      <w:lang w:eastAsia="en-GB" w:bidi="en-GB"/>
    </w:rPr>
  </w:style>
  <w:style w:type="paragraph" w:styleId="BodyText">
    <w:name w:val="Body Text"/>
    <w:basedOn w:val="Normal"/>
    <w:link w:val="BodyTextChar"/>
    <w:uiPriority w:val="1"/>
    <w:qFormat/>
    <w:rsid w:val="00321332"/>
    <w:pPr>
      <w:spacing w:before="190"/>
      <w:ind w:left="1241"/>
      <w:jc w:val="both"/>
    </w:pPr>
    <w:rPr>
      <w:sz w:val="20"/>
      <w:szCs w:val="20"/>
    </w:rPr>
  </w:style>
  <w:style w:type="character" w:customStyle="1" w:styleId="BodyTextChar">
    <w:name w:val="Body Text Char"/>
    <w:basedOn w:val="DefaultParagraphFont"/>
    <w:link w:val="BodyText"/>
    <w:uiPriority w:val="1"/>
    <w:rsid w:val="00321332"/>
    <w:rPr>
      <w:rFonts w:ascii="Arial" w:eastAsia="Arial" w:hAnsi="Arial" w:cs="Arial"/>
      <w:sz w:val="20"/>
      <w:szCs w:val="20"/>
      <w:lang w:eastAsia="en-GB" w:bidi="en-GB"/>
    </w:rPr>
  </w:style>
  <w:style w:type="paragraph" w:styleId="ListParagraph">
    <w:name w:val="List Paragraph"/>
    <w:aliases w:val="Elenco Normale"/>
    <w:basedOn w:val="Normal"/>
    <w:link w:val="ListParagraphChar"/>
    <w:uiPriority w:val="34"/>
    <w:qFormat/>
    <w:rsid w:val="00321332"/>
    <w:pPr>
      <w:spacing w:before="122"/>
      <w:ind w:left="1241" w:hanging="569"/>
      <w:jc w:val="both"/>
    </w:pPr>
  </w:style>
  <w:style w:type="paragraph" w:customStyle="1" w:styleId="TableParagraph">
    <w:name w:val="Table Paragraph"/>
    <w:basedOn w:val="Normal"/>
    <w:uiPriority w:val="1"/>
    <w:qFormat/>
    <w:rsid w:val="00321332"/>
    <w:pPr>
      <w:spacing w:before="59"/>
      <w:ind w:left="105"/>
    </w:pPr>
  </w:style>
  <w:style w:type="character" w:customStyle="1" w:styleId="ListParagraphChar">
    <w:name w:val="List Paragraph Char"/>
    <w:aliases w:val="Elenco Normale Char"/>
    <w:basedOn w:val="DefaultParagraphFont"/>
    <w:link w:val="ListParagraph"/>
    <w:uiPriority w:val="34"/>
    <w:rsid w:val="00321332"/>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Coxall</dc:creator>
  <cp:keywords/>
  <dc:description/>
  <cp:lastModifiedBy>Robert Coxall</cp:lastModifiedBy>
  <cp:revision>2</cp:revision>
  <dcterms:created xsi:type="dcterms:W3CDTF">2020-06-01T10:58:00Z</dcterms:created>
  <dcterms:modified xsi:type="dcterms:W3CDTF">2020-06-01T11:02:00Z</dcterms:modified>
</cp:coreProperties>
</file>